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販売再開のお知らせ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平素は○○○○をご愛顧をいただき誠にありがとうございます。</w:t>
              <w:br/>
              <w:t>00月に販売休止としておりました○○○○商品の販売を再開させて頂くことなりました。</w:t>
            </w:r>
          </w:p>
          <w:p>
            <w:r>
              <w:t> </w:t>
            </w:r>
          </w:p>
          <w:p>
            <w:r>
              <w:t>販売休止期間中は皆様方に多大なご迷惑をおかけしましたこと心よりお詫び申し上げます。</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